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7618095" cy="1579245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8095" cy="1579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Manitou Group: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Финансовые показатели за первое полугодие 2021 года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Оборот компании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в первом полугодии 2021 года составили 970 млн евро, увеличившись на 27% по сравнению с первым полугодием 2020 года и на 30% по сравнению с аналогичным периодом прошлого года*.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Объем заказов на оборудование во втором квартале 2021 года составил 858 млн евро по сравнению с </w:t>
        <w:br w:type="textWrapping"/>
        <w:t xml:space="preserve">180 млн евро во втором квартале 2020 года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Портфель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заказов на оборудование на конец первого полугодия 2021 года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составил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1788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млн евро в сравнении с 555 млн евро в первом полугодии 2020 года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Доход от основной деятельности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первом полугодии составил 85,0 млн евро (8,8%) в сравнении с </w:t>
        <w:br w:type="textWrapping"/>
        <w:t xml:space="preserve">30,1 млн евро (3,9%) в первом полугодии 2020 года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Чистая прибыль составила 64,2 млн евро в сравнении с 13,5 млн евро в первом полугодии 2020 года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EBITDA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** составила 110 млн евро (11,3%) в сравнении с 48 млн евро (6,3%) в первом полугодии 2020 года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Активное сальдо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в размере 15 млн евро по сравнению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дебиторской задолженностью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***.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Прогнозируется рост годового дохода в 2021 году примерно на 20% по сравнению с 2020 годом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Прогнозируется ежегодный рост ставки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дохода от основной деятельности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примерно на 130 базисных пунктов по сравнению с 2020 годом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29 июля 2021 г., г. Ансени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Совет директоров компании Manitou BF, собравшийся в этот день, закрыл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отчетность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 первое полугодие 2021 года. Мишель Дени, генеральный директор, заявил: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«В контексте сильного подъема активности мы завершили первую половину года с уровнем производительности, превышающим поставленные цели, и очень высокими показателями портфеля заказов. Отмечена положительная динамика во всех сферах и во всех регионах, что характеризуется рекордным ускорением поступления заказов, большим количеством выставленных счетов и исключительным портфелем заказов в размере 1,8 млрд евро на конец июня. Для удовлетворения высоких требований наших клиентов к работе были привлечены все команды. Темпы производства постепенно наращиваются, несмотря на значительные нагрузки в цепочке поставок.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В первом полугодии мы показали высокую динамику чистых продаж, при этом закупочные цены незначительно подверглись влиянию объявленного повышения цен, а операционные расходы находились под контролем, что позволило достичь пика дохода от основной деятельности в размере 8,8% от чистых продаж (85 млн евро), что соответствует данным за весь 2020 год. Это очень хорошие показатели, подкрепленные положительной денежной политикой на конец июня. Такое оживление на рынках подкрепляется высокой инфляцией в наших закупках, особенно в металлургии и транспорте, что неизменно повлияет на наши финансовые показатели во второй половине года.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По прогнозам, до конца года наши продажи будут выше, чем первоначально прогнозировалось, но ниже спроса наших клиентов. Кроме того, повышение цен на сырье будет полностью реализовано, в то время как корректировка розничных цен даст результаты только к концу года и в первой половине 2022 года. Такая ситуация существенно повлияет на маржу во второй половине 2021 года.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i w:val="1"/>
        </w:rPr>
        <w:sectPr>
          <w:footerReference r:id="rId8" w:type="default"/>
          <w:pgSz w:h="16840" w:w="11907" w:orient="portrait"/>
          <w:pgMar w:bottom="720" w:top="720" w:left="720" w:right="720" w:header="708" w:footer="1171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Эта последовательность позволит нам добиться значительного улучшения наших показателей в 2021 году по сравнению с 2020 годом и подталкивает нас к повышению ожиданий роста выручки за год примерно на 20% по сравнению с 2020 годом (ранее планировался рост более чем на 15%), а также к повышению ожиданий роста операционной маржи за год примерно на 130 базисных пунктов по сравнению с 2020 годом (ранее более чем на 40 базисных пунктов)».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2"/>
        <w:gridCol w:w="1284"/>
        <w:gridCol w:w="1422"/>
        <w:gridCol w:w="1192"/>
        <w:gridCol w:w="1329"/>
        <w:gridCol w:w="1422"/>
        <w:gridCol w:w="1192"/>
        <w:gridCol w:w="934"/>
        <w:tblGridChange w:id="0">
          <w:tblGrid>
            <w:gridCol w:w="1682"/>
            <w:gridCol w:w="1284"/>
            <w:gridCol w:w="1422"/>
            <w:gridCol w:w="1192"/>
            <w:gridCol w:w="1329"/>
            <w:gridCol w:w="1422"/>
            <w:gridCol w:w="1192"/>
            <w:gridCol w:w="934"/>
          </w:tblGrid>
        </w:tblGridChange>
      </w:tblGrid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Производство оборудования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Сервис и запасные части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Производство оборудования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Сервис и запасные части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Изменение</w:t>
            </w:r>
          </w:p>
        </w:tc>
      </w:tr>
      <w:tr>
        <w:trPr>
          <w:cantSplit w:val="0"/>
          <w:trHeight w:val="249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млн евро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Первое полугодие 2020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Первое полугодие 2020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Первое полугодие 2020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Первое полугодие 2021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Первое полугодие 2021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Первое полугодие 2021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Оборот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619,7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141,9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761,6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802,8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166,9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969,6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+27%</w:t>
            </w:r>
          </w:p>
        </w:tc>
      </w:tr>
      <w:tr>
        <w:trPr>
          <w:cantSplit w:val="0"/>
          <w:trHeight w:val="249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Валовая прибыль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68,2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42,1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110,3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130,3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46,9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177,2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+61%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Валовая прибыль,  % от продаж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11,0%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29,6%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14,5%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16,2%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28,1%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18,3%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Доход от основной деятельности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13,0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17,1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30,1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67,4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17,6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85,0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+182%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Доход от основной деятельности, % от продаж 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2,1%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12,0%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3,9%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8,4%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10,5%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8,8%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Операционный доход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9,9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16,9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26,9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69,0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17,7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86,8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+223%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Чистый доход группы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13,5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63,8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+376%</w:t>
            </w:r>
          </w:p>
        </w:tc>
      </w:tr>
      <w:tr>
        <w:trPr>
          <w:cantSplit w:val="0"/>
          <w:trHeight w:val="249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Чистый долг без учета IFRS 16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164,0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-14,8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Чистый долг с учетом IFRS 16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178,8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6,7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Акционерный капитал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682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715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+7%</w:t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% соотношения заемного капитала к собственному**** без учета IFRS 16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24%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-2%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% соотношения заемного капитала к собственному**** с учетом IFRS 16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26%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1%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Оборотный капитал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591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453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Процентные показатели в скобках выражают процент c оборота.</w:t>
      </w:r>
    </w:p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Финансовые отчеты за полугодие и обзорный отчет аудиторов доступны на сайте компании (на французском языке)</w:t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Ограниченные аудиторские проверки</w:t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*сопоставимые показатели, при постоянных объемах и курсах валют: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объем: отсутствие поглощений и ликвидаций в 2020 и в 2021 годах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применение обменного курса предыдущего года</w:t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** EBITDA: Прибыль до вычета процентов, налогов, износа и амортизации, пересчитанная с учетом влияния IFRS 16</w:t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*** без учета IFRS 16</w:t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**** Финансовый коэффициент, измеряющий соотношение заемного капитала к собственному.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Тенденция сбыта</w:t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5"/>
        <w:gridCol w:w="1305"/>
        <w:gridCol w:w="1465"/>
        <w:gridCol w:w="1416"/>
        <w:gridCol w:w="1463"/>
        <w:gridCol w:w="1461"/>
        <w:gridCol w:w="1422"/>
        <w:tblGridChange w:id="0">
          <w:tblGrid>
            <w:gridCol w:w="1935"/>
            <w:gridCol w:w="1305"/>
            <w:gridCol w:w="1465"/>
            <w:gridCol w:w="1416"/>
            <w:gridCol w:w="1463"/>
            <w:gridCol w:w="1461"/>
            <w:gridCol w:w="1422"/>
          </w:tblGrid>
        </w:tblGridChange>
      </w:tblGrid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Продажи по подразделениям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млн евро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Квартал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Полугодие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Второй квартал </w:t>
              <w:br w:type="textWrapping"/>
              <w:t xml:space="preserve">2020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Второй квартал </w:t>
              <w:br w:type="textWrapping"/>
              <w:t xml:space="preserve">2021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Первое полугодие</w:t>
              <w:br w:type="textWrapping"/>
              <w:t xml:space="preserve">2020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Первое полугодие</w:t>
              <w:br w:type="textWrapping"/>
              <w:t xml:space="preserve">2021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Подразделение по производству оборудования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273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414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52%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620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803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Подразделение по предоставлению сервисных услуг и решений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84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24%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142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167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341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498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46%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762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970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27%</w:t>
            </w:r>
          </w:p>
        </w:tc>
      </w:tr>
    </w:tbl>
    <w:p w:rsidR="00000000" w:rsidDel="00000000" w:rsidP="00000000" w:rsidRDefault="00000000" w:rsidRPr="00000000" w14:paraId="000000C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9"/>
        <w:gridCol w:w="1466"/>
        <w:gridCol w:w="1466"/>
        <w:gridCol w:w="1417"/>
        <w:gridCol w:w="1463"/>
        <w:gridCol w:w="1462"/>
        <w:gridCol w:w="1424"/>
        <w:tblGridChange w:id="0">
          <w:tblGrid>
            <w:gridCol w:w="1759"/>
            <w:gridCol w:w="1466"/>
            <w:gridCol w:w="1466"/>
            <w:gridCol w:w="1417"/>
            <w:gridCol w:w="1463"/>
            <w:gridCol w:w="1462"/>
            <w:gridCol w:w="1424"/>
          </w:tblGrid>
        </w:tblGridChange>
      </w:tblGrid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Продажи по регионам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млн евро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Квартал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Полугодие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Второй квартал </w:t>
              <w:br w:type="textWrapping"/>
              <w:t xml:space="preserve">2020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Второй квартал </w:t>
              <w:br w:type="textWrapping"/>
              <w:t xml:space="preserve">2021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Первое полугодие</w:t>
              <w:br w:type="textWrapping"/>
              <w:t xml:space="preserve">2020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Первое полугодие</w:t>
              <w:br w:type="textWrapping"/>
              <w:t xml:space="preserve">2021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Южная Европа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122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164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35%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274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313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Северная Европа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197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63%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272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390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43%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Южная и Северная Америка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88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28%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148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175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Азия, Тихоокеанский регион, Африка, Ближний Восток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69%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91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341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498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46%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762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970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27%</w:t>
            </w:r>
          </w:p>
        </w:tc>
      </w:tr>
    </w:tbl>
    <w:p w:rsidR="00000000" w:rsidDel="00000000" w:rsidP="00000000" w:rsidRDefault="00000000" w:rsidRPr="00000000" w14:paraId="000001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both"/>
        <w:rPr>
          <w:rFonts w:ascii="Times New Roman" w:cs="Times New Roman" w:eastAsia="Times New Roman" w:hAnsi="Times New Roman"/>
        </w:rPr>
        <w:sectPr>
          <w:headerReference r:id="rId9" w:type="default"/>
          <w:type w:val="nextPage"/>
          <w:pgSz w:h="16840" w:w="11907" w:orient="portrait"/>
          <w:pgMar w:bottom="720" w:top="720" w:left="720" w:right="720" w:header="0" w:footer="117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Обзор по подразделениям</w:t>
      </w:r>
    </w:p>
    <w:p w:rsidR="00000000" w:rsidDel="00000000" w:rsidP="00000000" w:rsidRDefault="00000000" w:rsidRPr="00000000" w14:paraId="000001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Доход Подразделения по производству оборудования (объединившее бывшие дивизионы MHA и CEP) составил 802,6 млн евро, увеличившись за 6 месяцев на 29,5% по сравнению таким же периодом 2020 года, на которые сильно повлиял кризис COVID 19 (+32% при постоянных курсах валют). Подразделение по производству оборудования получило доход от оживления рынков, наблюдавшегося в конце 2020 года. Доходы компании во всех сферах (строительство, сельское хозяйство, промышленность) выросли во всех регионах, особенно в Северной Европе и Азии, Тихоокеанском регионе, Африке, Ближнем Востоке.</w:t>
      </w:r>
    </w:p>
    <w:p w:rsidR="00000000" w:rsidDel="00000000" w:rsidP="00000000" w:rsidRDefault="00000000" w:rsidRPr="00000000" w14:paraId="000001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Подразделение завершило внедрение новой организационной структуры и приложило значительные усилия для увеличения темпов производства. Начато масштабное обновление модельного ряда строительной техники.</w:t>
      </w:r>
    </w:p>
    <w:p w:rsidR="00000000" w:rsidDel="00000000" w:rsidP="00000000" w:rsidRDefault="00000000" w:rsidRPr="00000000" w14:paraId="000001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Доход от основной деятельности Подразделения по производству оборудования увеличился на 54,4 млн евро (+418,1%) и достиг 67,4 млн евро (8,4% от продаж) по сравнению с 13 млн евро в первой половине 2020 года (2,1% от продаж).</w:t>
      </w:r>
    </w:p>
    <w:p w:rsidR="00000000" w:rsidDel="00000000" w:rsidP="00000000" w:rsidRDefault="00000000" w:rsidRPr="00000000" w14:paraId="000001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Доход Подразделения по предоставлению сервисных услуг и решений, составивший 167 млн евро, увеличился на 17,6% за 6 месяцев (+19% при постоянных курсах валют). Наблюдалось повышение активности во всех регионах, особенно в Азии, Тихоокеанском регионе, Африке, Ближнем Востоке, а также во всех сферах, за исключением сферы обслуживания, которая в 2020 году характеризовалась большей стабильностью. Доход от основной деятельности Подразделения составил 17,6 млн евро (10,5% от выручки), что на 0,5 млн евро больше, чем в первой половине 2020 года (17,1 млн евро или 12,0% от выручки).</w:t>
      </w:r>
    </w:p>
    <w:p w:rsidR="00000000" w:rsidDel="00000000" w:rsidP="00000000" w:rsidRDefault="00000000" w:rsidRPr="00000000" w14:paraId="000001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Код ISIN: FR0000038606</w:t>
      </w:r>
    </w:p>
    <w:p w:rsidR="00000000" w:rsidDel="00000000" w:rsidP="00000000" w:rsidRDefault="00000000" w:rsidRPr="00000000" w14:paraId="0000011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Индексы: CAC ALL SHARES, CAC ALL-TRADABLE, CAC INDUSTRIALS, CAC MID &amp; SMALL, CAC SMALL, EN FAMILY BUSINESS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83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41"/>
        <w:gridCol w:w="5342"/>
        <w:tblGridChange w:id="0">
          <w:tblGrid>
            <w:gridCol w:w="5341"/>
            <w:gridCol w:w="53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СЛЕДУЮЩАЯ ОТЧЕТНОСТЬ 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 октября 2021 года (после закрытия рынка) </w:t>
            </w:r>
          </w:p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Выручка от реализации за 3 квартал 2021 года</w:t>
            </w:r>
          </w:p>
        </w:tc>
      </w:tr>
    </w:tbl>
    <w:p w:rsidR="00000000" w:rsidDel="00000000" w:rsidP="00000000" w:rsidRDefault="00000000" w:rsidRPr="00000000" w14:paraId="000001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both"/>
        <w:rPr>
          <w:rFonts w:ascii="Times New Roman" w:cs="Times New Roman" w:eastAsia="Times New Roman" w:hAnsi="Times New Roman"/>
        </w:rPr>
        <w:sectPr>
          <w:type w:val="continuous"/>
          <w:pgSz w:h="16840" w:w="11907" w:orient="portrait"/>
          <w:pgMar w:bottom="720" w:top="720" w:left="720" w:right="72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Компания Manitou Group является мировым лидером в области разработки оборудования для погрузочно-разгрузочных работ, подъема людей и землеройных работ. Благодаря улучшению условий труда, безопасности и производительности, наша окружающая среда остается возобновляемой и устойчивой для человечества.</w:t>
      </w:r>
    </w:p>
    <w:p w:rsidR="00000000" w:rsidDel="00000000" w:rsidP="00000000" w:rsidRDefault="00000000" w:rsidRPr="00000000" w14:paraId="0000012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Через свои 3 знаковых бренда – Manitou, Gehl и Mustang by Manitou – группа разрабатывает, производит и предоставляет оборудование и услуги для строительного, сельскохозяйственного и промышленного рынков. Manitou Group  постоянно повышает качество своих услуг, превосходя ожидания клиентов.</w:t>
      </w:r>
    </w:p>
    <w:p w:rsidR="00000000" w:rsidDel="00000000" w:rsidP="00000000" w:rsidRDefault="00000000" w:rsidRPr="00000000" w14:paraId="00000126">
      <w:pPr>
        <w:jc w:val="both"/>
        <w:rPr>
          <w:rFonts w:ascii="Times New Roman" w:cs="Times New Roman" w:eastAsia="Times New Roman" w:hAnsi="Times New Roman"/>
        </w:rPr>
        <w:sectPr>
          <w:type w:val="continuous"/>
          <w:pgSz w:h="16840" w:w="11907" w:orient="portrait"/>
          <w:pgMar w:bottom="720" w:top="720" w:left="720" w:right="720" w:header="708" w:footer="708"/>
        </w:sect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Мы верны своим корням и сохранили штаб-квартиру во Франции, при этом всегда на связи со своими клиентами через экспертную сеть из более чем 1050 дилеров. Такой подход, обеспечивший рост продаж до 1,6 млрд евро в 2020 году, лежит в основе работы команды талантливых специалистов по всему миру, насчитывающей на сегодняшний день 4400 человек, чей энтузиазм непрерывно способствует нашему продвижению.</w:t>
      </w:r>
    </w:p>
    <w:p w:rsidR="00000000" w:rsidDel="00000000" w:rsidP="00000000" w:rsidRDefault="00000000" w:rsidRPr="00000000" w14:paraId="0000012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Предупреждение относительно прогнозов</w:t>
      </w:r>
    </w:p>
    <w:p w:rsidR="00000000" w:rsidDel="00000000" w:rsidP="00000000" w:rsidRDefault="00000000" w:rsidRPr="00000000" w14:paraId="00000129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Настоящая отчетность может содержать прогнозные заявления, которые основаны на текущих убеждениях, ожиданиях и предположениях, включая, помимо прочего, предположения относительно настоящих и будущих бизнес-стратегий и предпринимательской среды, в которой осуществляет свою деятельность Компания, и включают известные и неизвестные риски, неопределенности и другие факторы, которые могут привести к тому, что фактические результаты, показатели или достижения, или отраслевые результаты, или другие события будут существенно отличаться от тех, которые выражены или подразумеваются в таких</w:t>
      </w:r>
    </w:p>
    <w:p w:rsidR="00000000" w:rsidDel="00000000" w:rsidP="00000000" w:rsidRDefault="00000000" w:rsidRPr="00000000" w14:paraId="0000012A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прогнозных заявлениях. Информация о прогнозных заявлениях представлена только на момент составления настоящей отчетности, и Компания полностью отказывается от каких-либо обязательств по выпуску обновлений или пересмотру прогнозных заявлений, которые могут содержаться в настоящей отчетности, для отражения изменений в ожиданиях или изменений в событиях, условиях или обстоятельствах, на которых основаны эти прогнозные заявления. Прогнозные заявления приводятся исключительно в иллюстративных целях. Настоящим мы предупреждаем получателей настоящей отчетности, что информация и заявления прогнозного характера не являются гарантиями или обязательствами в отношении будущих показателей и подвержены различным рискам и неопределенностям, многие из которых трудно предсказать и которые находятся вне контроля Компании.</w:t>
      </w:r>
    </w:p>
    <w:sectPr>
      <w:type w:val="continuous"/>
      <w:pgSz w:h="16840" w:w="11907" w:orient="portrait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spacing w:line="200" w:lineRule="auto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1765300</wp:posOffset>
              </wp:positionH>
              <wp:positionV relativeFrom="paragraph">
                <wp:posOffset>9791700</wp:posOffset>
              </wp:positionV>
              <wp:extent cx="3102610" cy="26035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99458" y="3654588"/>
                        <a:ext cx="309308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183.99999618530273"/>
                            <w:ind w:left="1.0000000149011612" w:right="0" w:firstLine="1.0000000149011612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Информация о Компании доступна на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1154cc"/>
                              <w:sz w:val="16"/>
                              <w:u w:val="single"/>
                              <w:vertAlign w:val="baseline"/>
                            </w:rPr>
                            <w:t xml:space="preserve">www.manitou-group.com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94.00000095367432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Информация об акционерах: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1154cc"/>
                              <w:sz w:val="16"/>
                              <w:u w:val="single"/>
                              <w:vertAlign w:val="baseline"/>
                            </w:rPr>
                            <w:t xml:space="preserve">communication.financiere@manitou-group.com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1765300</wp:posOffset>
              </wp:positionH>
              <wp:positionV relativeFrom="paragraph">
                <wp:posOffset>9791700</wp:posOffset>
              </wp:positionV>
              <wp:extent cx="3102610" cy="260350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02610" cy="260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spacing w:line="200" w:lineRule="auto"/>
      <w:rPr>
        <w:sz w:val="20"/>
        <w:szCs w:val="20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27940</wp:posOffset>
          </wp:positionH>
          <wp:positionV relativeFrom="page">
            <wp:posOffset>0</wp:posOffset>
          </wp:positionV>
          <wp:extent cx="7443470" cy="814705"/>
          <wp:effectExtent b="0" l="0" r="0" t="0"/>
          <wp:wrapNone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43470" cy="8147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uiPriority w:val="1"/>
    <w:qFormat w:val="1"/>
    <w:pPr>
      <w:ind w:left="876"/>
    </w:pPr>
    <w:rPr>
      <w:rFonts w:ascii="Calibri" w:eastAsia="Calibri" w:hAnsi="Calibri"/>
      <w:i w:val="1"/>
    </w:rPr>
  </w:style>
  <w:style w:type="paragraph" w:styleId="11" w:customStyle="1">
    <w:name w:val="Заголовок 11"/>
    <w:basedOn w:val="a"/>
    <w:uiPriority w:val="1"/>
    <w:qFormat w:val="1"/>
    <w:pPr>
      <w:ind w:left="876"/>
      <w:outlineLvl w:val="1"/>
    </w:pPr>
    <w:rPr>
      <w:rFonts w:ascii="Calibri" w:eastAsia="Calibri" w:hAnsi="Calibri"/>
      <w:b w:val="1"/>
      <w:bCs w:val="1"/>
      <w:sz w:val="24"/>
      <w:szCs w:val="24"/>
    </w:rPr>
  </w:style>
  <w:style w:type="paragraph" w:styleId="21" w:customStyle="1">
    <w:name w:val="Заголовок 21"/>
    <w:basedOn w:val="a"/>
    <w:uiPriority w:val="1"/>
    <w:qFormat w:val="1"/>
    <w:pPr>
      <w:ind w:left="876"/>
      <w:outlineLvl w:val="2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 w:val="1"/>
  </w:style>
  <w:style w:type="paragraph" w:styleId="TableParagraph" w:customStyle="1">
    <w:name w:val="Table Paragraph"/>
    <w:basedOn w:val="a"/>
    <w:uiPriority w:val="1"/>
    <w:qFormat w:val="1"/>
  </w:style>
  <w:style w:type="paragraph" w:styleId="a5">
    <w:name w:val="header"/>
    <w:basedOn w:val="a"/>
    <w:link w:val="a6"/>
    <w:uiPriority w:val="99"/>
    <w:unhideWhenUsed w:val="1"/>
    <w:rsid w:val="00380E42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uiPriority w:val="99"/>
    <w:rsid w:val="00380E42"/>
  </w:style>
  <w:style w:type="paragraph" w:styleId="a7">
    <w:name w:val="footer"/>
    <w:basedOn w:val="a"/>
    <w:link w:val="a8"/>
    <w:uiPriority w:val="99"/>
    <w:unhideWhenUsed w:val="1"/>
    <w:rsid w:val="00380E42"/>
    <w:pPr>
      <w:tabs>
        <w:tab w:val="center" w:pos="4677"/>
        <w:tab w:val="right" w:pos="9355"/>
      </w:tabs>
    </w:pPr>
  </w:style>
  <w:style w:type="character" w:styleId="a8" w:customStyle="1">
    <w:name w:val="Нижний колонтитул Знак"/>
    <w:basedOn w:val="a0"/>
    <w:link w:val="a7"/>
    <w:uiPriority w:val="99"/>
    <w:rsid w:val="00380E42"/>
  </w:style>
  <w:style w:type="table" w:styleId="a9">
    <w:name w:val="Table Grid"/>
    <w:basedOn w:val="a1"/>
    <w:uiPriority w:val="59"/>
    <w:rsid w:val="00F921C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DbSp90pS/Of+C+8qm2Jl1xRAog==">AMUW2mWvd0hjQmeUYNoZ4cHlkoQ5/+o1KhIcdeNEIHMdjZSV0X655ABVQHISM/ya7/b7l8k93BxbFvJONlDxxOA4+GA/Fs21iwRap55WVoz192WUiwq53l0CXlmm62OYaUom/n5SjS3k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2021-08-15T09:53:00Z</dcterms:created>
  <dc:creator>Franck Lethorey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2021-08-12T00:00:00Z</vt:filetime>
  </property>
</Properties>
</file>